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E0706" w14:textId="2D565036" w:rsidR="00DF54E2" w:rsidRDefault="00F3454C">
      <w:pPr>
        <w:jc w:val="both"/>
      </w:pPr>
      <w:r>
        <w:rPr>
          <w:rFonts w:ascii="Times New Roman" w:hAnsi="Times New Roman"/>
          <w:b/>
          <w:sz w:val="24"/>
        </w:rPr>
        <w:t>STF-JKA-1-17</w:t>
      </w:r>
    </w:p>
    <w:p w14:paraId="5B6200AD" w14:textId="77777777" w:rsidR="00E3405C" w:rsidRDefault="00F3454C" w:rsidP="00E3405C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 xml:space="preserve">Question: </w:t>
      </w:r>
      <w:r>
        <w:rPr>
          <w:rFonts w:ascii="Times New Roman" w:hAnsi="Times New Roman"/>
          <w:sz w:val="24"/>
          <w:u w:val="single"/>
        </w:rPr>
        <w:br/>
      </w:r>
    </w:p>
    <w:p w14:paraId="1A8F9339" w14:textId="5A17BAB1" w:rsidR="00DF54E2" w:rsidRDefault="00F3454C" w:rsidP="00BD7A53">
      <w:pPr>
        <w:jc w:val="both"/>
      </w:pPr>
      <w:r>
        <w:rPr>
          <w:rFonts w:ascii="Times New Roman" w:hAnsi="Times New Roman"/>
          <w:sz w:val="24"/>
        </w:rPr>
        <w:t>Concerning modeling related to EPA Section 111 Clean Air Act (CAA) rules and related case modeling (if applicable):</w:t>
      </w:r>
    </w:p>
    <w:p w14:paraId="110FB538" w14:textId="3B5ED2DE" w:rsidR="00DF54E2" w:rsidRDefault="00F3454C" w:rsidP="00BD7A53">
      <w:pPr>
        <w:pStyle w:val="ListParagraph"/>
        <w:numPr>
          <w:ilvl w:val="0"/>
          <w:numId w:val="12"/>
        </w:numPr>
        <w:ind w:left="810"/>
        <w:jc w:val="both"/>
      </w:pPr>
      <w:r w:rsidRPr="00480633">
        <w:rPr>
          <w:rFonts w:ascii="Times New Roman" w:hAnsi="Times New Roman"/>
          <w:sz w:val="24"/>
        </w:rPr>
        <w:t>Were the coal units evaluated for economic coal retirement, gas conversion, co- firing, and/or possible Carbon Capture and Sequestration (CCS)? Provide an explanation for each coal unit the Company operates. Provide copies of any analysis/workpapers developed that assessed the various compliance options with the EPA CAA 111 Final Rule for Georgia Power’s coal units.</w:t>
      </w:r>
    </w:p>
    <w:p w14:paraId="22A7F213" w14:textId="18366849" w:rsidR="00DF54E2" w:rsidRDefault="00F3454C" w:rsidP="00BD7A53">
      <w:pPr>
        <w:pStyle w:val="ListParagraph"/>
        <w:numPr>
          <w:ilvl w:val="0"/>
          <w:numId w:val="12"/>
        </w:numPr>
        <w:ind w:left="810"/>
        <w:jc w:val="both"/>
      </w:pPr>
      <w:r w:rsidRPr="00480633">
        <w:rPr>
          <w:rFonts w:ascii="Times New Roman" w:hAnsi="Times New Roman"/>
          <w:sz w:val="24"/>
        </w:rPr>
        <w:t>Explain if changes were made to the availability, costs, or operations of oil-fired resources for compliance with the EPA CAA 111 Final Rule.</w:t>
      </w:r>
    </w:p>
    <w:p w14:paraId="1FFE7661" w14:textId="5059B0AF" w:rsidR="00DF54E2" w:rsidRDefault="00F3454C" w:rsidP="00BD7A53">
      <w:pPr>
        <w:pStyle w:val="ListParagraph"/>
        <w:numPr>
          <w:ilvl w:val="0"/>
          <w:numId w:val="12"/>
        </w:numPr>
        <w:ind w:left="810"/>
        <w:jc w:val="both"/>
      </w:pPr>
      <w:r w:rsidRPr="00480633">
        <w:rPr>
          <w:rFonts w:ascii="Times New Roman" w:hAnsi="Times New Roman"/>
          <w:sz w:val="24"/>
        </w:rPr>
        <w:t>Were generic/new gas units evaluated at limited capacity factors and/or considered to utilize a hydrogen blend or co-firing? Provide an explanation for each natural gas unit the Company will operate. Provide a copy of any analysis conducted assessing the various compliance options with the EPA CAA 111 Final Rule for Georgia Power’s new gas units.</w:t>
      </w:r>
    </w:p>
    <w:p w14:paraId="18E598F6" w14:textId="77777777" w:rsidR="004F5C35" w:rsidRDefault="00F3454C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Response:</w:t>
      </w:r>
    </w:p>
    <w:p w14:paraId="001038EA" w14:textId="2B8CFCA0" w:rsidR="00DF54E2" w:rsidRPr="00594B5F" w:rsidRDefault="00683955" w:rsidP="001A4B98">
      <w:pPr>
        <w:pStyle w:val="ListParagraph"/>
        <w:numPr>
          <w:ilvl w:val="0"/>
          <w:numId w:val="10"/>
        </w:numPr>
        <w:ind w:left="806"/>
        <w:contextualSpacing w:val="0"/>
        <w:jc w:val="both"/>
        <w:rPr>
          <w:rFonts w:ascii="Times New Roman" w:hAnsi="Times New Roman"/>
          <w:sz w:val="24"/>
          <w:szCs w:val="24"/>
        </w:rPr>
      </w:pPr>
      <w:r w:rsidRPr="728E6502">
        <w:rPr>
          <w:rFonts w:ascii="Times New Roman" w:hAnsi="Times New Roman"/>
          <w:sz w:val="24"/>
          <w:szCs w:val="24"/>
        </w:rPr>
        <w:t xml:space="preserve">Yes. The </w:t>
      </w:r>
      <w:r w:rsidR="00C802D5" w:rsidRPr="728E6502">
        <w:rPr>
          <w:rFonts w:ascii="Times New Roman" w:hAnsi="Times New Roman"/>
          <w:sz w:val="24"/>
          <w:szCs w:val="24"/>
        </w:rPr>
        <w:t xml:space="preserve">Company’s </w:t>
      </w:r>
      <w:r w:rsidRPr="728E6502">
        <w:rPr>
          <w:rFonts w:ascii="Times New Roman" w:hAnsi="Times New Roman"/>
          <w:sz w:val="24"/>
          <w:szCs w:val="24"/>
        </w:rPr>
        <w:t xml:space="preserve">coal units were evaluated under all four </w:t>
      </w:r>
      <w:r w:rsidR="007F5846" w:rsidRPr="728E6502">
        <w:rPr>
          <w:rFonts w:ascii="Times New Roman" w:hAnsi="Times New Roman"/>
          <w:sz w:val="24"/>
          <w:szCs w:val="24"/>
        </w:rPr>
        <w:t xml:space="preserve">EPA 111 </w:t>
      </w:r>
      <w:r w:rsidR="00E012E9">
        <w:rPr>
          <w:rFonts w:ascii="Times New Roman" w:hAnsi="Times New Roman"/>
          <w:sz w:val="24"/>
          <w:szCs w:val="24"/>
        </w:rPr>
        <w:t xml:space="preserve">Greenhouse Gas (“GHG”) </w:t>
      </w:r>
      <w:r w:rsidR="00D40E30" w:rsidRPr="728E6502">
        <w:rPr>
          <w:rFonts w:ascii="Times New Roman" w:hAnsi="Times New Roman"/>
          <w:sz w:val="24"/>
          <w:szCs w:val="24"/>
        </w:rPr>
        <w:t>R</w:t>
      </w:r>
      <w:r w:rsidR="007F5846" w:rsidRPr="728E6502">
        <w:rPr>
          <w:rFonts w:ascii="Times New Roman" w:hAnsi="Times New Roman"/>
          <w:sz w:val="24"/>
          <w:szCs w:val="24"/>
        </w:rPr>
        <w:t>ule</w:t>
      </w:r>
      <w:r w:rsidR="00D40E30" w:rsidRPr="728E6502">
        <w:rPr>
          <w:rFonts w:ascii="Times New Roman" w:hAnsi="Times New Roman"/>
          <w:sz w:val="24"/>
          <w:szCs w:val="24"/>
        </w:rPr>
        <w:t>s</w:t>
      </w:r>
      <w:r w:rsidR="007F5846" w:rsidRPr="728E6502">
        <w:rPr>
          <w:rFonts w:ascii="Times New Roman" w:hAnsi="Times New Roman"/>
          <w:sz w:val="24"/>
          <w:szCs w:val="24"/>
        </w:rPr>
        <w:t xml:space="preserve"> compliance pathways. Evaluations were performed for Plant Bowen Units 1-4 and Plant Scherer Units 1-3</w:t>
      </w:r>
      <w:r w:rsidR="001914F5">
        <w:rPr>
          <w:rFonts w:ascii="Times New Roman" w:hAnsi="Times New Roman"/>
          <w:sz w:val="24"/>
          <w:szCs w:val="24"/>
        </w:rPr>
        <w:t>,</w:t>
      </w:r>
      <w:r w:rsidR="00E77936" w:rsidRPr="728E6502">
        <w:rPr>
          <w:rFonts w:ascii="Times New Roman" w:hAnsi="Times New Roman"/>
          <w:sz w:val="24"/>
          <w:szCs w:val="24"/>
        </w:rPr>
        <w:t xml:space="preserve"> and the economic analysis is included in the Unit Retirement Study in Technical Appendix Volume 1</w:t>
      </w:r>
      <w:r w:rsidR="007F5846" w:rsidRPr="728E6502">
        <w:rPr>
          <w:rFonts w:ascii="Times New Roman" w:hAnsi="Times New Roman"/>
          <w:sz w:val="24"/>
          <w:szCs w:val="24"/>
        </w:rPr>
        <w:t xml:space="preserve">. </w:t>
      </w:r>
      <w:r w:rsidR="00027E56" w:rsidRPr="728E6502">
        <w:rPr>
          <w:rFonts w:ascii="Times New Roman" w:hAnsi="Times New Roman"/>
          <w:sz w:val="24"/>
          <w:szCs w:val="24"/>
        </w:rPr>
        <w:t>Additionally, p</w:t>
      </w:r>
      <w:r w:rsidR="00047E2D" w:rsidRPr="728E6502">
        <w:rPr>
          <w:rFonts w:ascii="Times New Roman" w:hAnsi="Times New Roman"/>
          <w:sz w:val="24"/>
          <w:szCs w:val="24"/>
        </w:rPr>
        <w:t xml:space="preserve">lease see Technical Appendix Volume 1, Unit Retirement Study </w:t>
      </w:r>
      <w:r w:rsidR="00D430AD" w:rsidRPr="728E6502">
        <w:rPr>
          <w:rFonts w:ascii="Times New Roman" w:hAnsi="Times New Roman"/>
          <w:sz w:val="24"/>
          <w:szCs w:val="24"/>
        </w:rPr>
        <w:t xml:space="preserve">workpapers </w:t>
      </w:r>
      <w:r w:rsidR="00592360" w:rsidRPr="728E6502">
        <w:rPr>
          <w:rFonts w:ascii="Times New Roman" w:hAnsi="Times New Roman"/>
          <w:sz w:val="24"/>
          <w:szCs w:val="24"/>
        </w:rPr>
        <w:t xml:space="preserve">provided </w:t>
      </w:r>
      <w:r w:rsidR="00B46533">
        <w:rPr>
          <w:rFonts w:ascii="Times New Roman" w:hAnsi="Times New Roman"/>
          <w:sz w:val="24"/>
          <w:szCs w:val="24"/>
        </w:rPr>
        <w:t xml:space="preserve">to Commission Staff on January </w:t>
      </w:r>
      <w:r w:rsidR="00123AF8">
        <w:rPr>
          <w:rFonts w:ascii="Times New Roman" w:hAnsi="Times New Roman"/>
          <w:sz w:val="24"/>
          <w:szCs w:val="24"/>
        </w:rPr>
        <w:t>31, 2025,</w:t>
      </w:r>
      <w:r w:rsidR="00592360" w:rsidRPr="728E6502">
        <w:rPr>
          <w:rFonts w:ascii="Times New Roman" w:hAnsi="Times New Roman"/>
          <w:sz w:val="24"/>
          <w:szCs w:val="24"/>
        </w:rPr>
        <w:t xml:space="preserve"> </w:t>
      </w:r>
      <w:r w:rsidR="00D430AD" w:rsidRPr="728E6502">
        <w:rPr>
          <w:rFonts w:ascii="Times New Roman" w:hAnsi="Times New Roman"/>
          <w:sz w:val="24"/>
          <w:szCs w:val="24"/>
        </w:rPr>
        <w:t>assessing the variou</w:t>
      </w:r>
      <w:r w:rsidR="00235999" w:rsidRPr="728E6502">
        <w:rPr>
          <w:rFonts w:ascii="Times New Roman" w:hAnsi="Times New Roman"/>
          <w:sz w:val="24"/>
          <w:szCs w:val="24"/>
        </w:rPr>
        <w:t xml:space="preserve">s compliance options with the EPA 111 </w:t>
      </w:r>
      <w:r w:rsidR="00123AF8">
        <w:rPr>
          <w:rFonts w:ascii="Times New Roman" w:hAnsi="Times New Roman"/>
          <w:sz w:val="24"/>
          <w:szCs w:val="24"/>
        </w:rPr>
        <w:t xml:space="preserve">GHG </w:t>
      </w:r>
      <w:r w:rsidR="00235999" w:rsidRPr="728E6502">
        <w:rPr>
          <w:rFonts w:ascii="Times New Roman" w:hAnsi="Times New Roman"/>
          <w:sz w:val="24"/>
          <w:szCs w:val="24"/>
        </w:rPr>
        <w:t>R</w:t>
      </w:r>
      <w:r w:rsidR="00D40E30" w:rsidRPr="728E6502">
        <w:rPr>
          <w:rFonts w:ascii="Times New Roman" w:hAnsi="Times New Roman"/>
          <w:sz w:val="24"/>
          <w:szCs w:val="24"/>
        </w:rPr>
        <w:t>u</w:t>
      </w:r>
      <w:r w:rsidR="00235999" w:rsidRPr="728E6502">
        <w:rPr>
          <w:rFonts w:ascii="Times New Roman" w:hAnsi="Times New Roman"/>
          <w:sz w:val="24"/>
          <w:szCs w:val="24"/>
        </w:rPr>
        <w:t>le</w:t>
      </w:r>
      <w:r w:rsidR="00D40E30" w:rsidRPr="728E6502">
        <w:rPr>
          <w:rFonts w:ascii="Times New Roman" w:hAnsi="Times New Roman"/>
          <w:sz w:val="24"/>
          <w:szCs w:val="24"/>
        </w:rPr>
        <w:t>s</w:t>
      </w:r>
      <w:r w:rsidR="00235999" w:rsidRPr="728E6502">
        <w:rPr>
          <w:rFonts w:ascii="Times New Roman" w:hAnsi="Times New Roman"/>
          <w:sz w:val="24"/>
          <w:szCs w:val="24"/>
        </w:rPr>
        <w:t xml:space="preserve"> for Georgia Power’s </w:t>
      </w:r>
      <w:r w:rsidR="0085030F">
        <w:rPr>
          <w:rFonts w:ascii="Times New Roman" w:hAnsi="Times New Roman"/>
          <w:sz w:val="24"/>
          <w:szCs w:val="24"/>
        </w:rPr>
        <w:t>c</w:t>
      </w:r>
      <w:r w:rsidR="00235999" w:rsidRPr="728E6502">
        <w:rPr>
          <w:rFonts w:ascii="Times New Roman" w:hAnsi="Times New Roman"/>
          <w:sz w:val="24"/>
          <w:szCs w:val="24"/>
        </w:rPr>
        <w:t xml:space="preserve">oal </w:t>
      </w:r>
      <w:r w:rsidR="0085030F">
        <w:rPr>
          <w:rFonts w:ascii="Times New Roman" w:hAnsi="Times New Roman"/>
          <w:sz w:val="24"/>
          <w:szCs w:val="24"/>
        </w:rPr>
        <w:t>u</w:t>
      </w:r>
      <w:r w:rsidR="00235999" w:rsidRPr="728E6502">
        <w:rPr>
          <w:rFonts w:ascii="Times New Roman" w:hAnsi="Times New Roman"/>
          <w:sz w:val="24"/>
          <w:szCs w:val="24"/>
        </w:rPr>
        <w:t xml:space="preserve">nits. </w:t>
      </w:r>
      <w:r w:rsidR="00AC78B8" w:rsidRPr="728E6502">
        <w:rPr>
          <w:rFonts w:ascii="Times New Roman" w:hAnsi="Times New Roman"/>
          <w:sz w:val="24"/>
          <w:szCs w:val="24"/>
        </w:rPr>
        <w:t xml:space="preserve">For </w:t>
      </w:r>
      <w:r w:rsidR="00DA3EC6" w:rsidRPr="728E6502">
        <w:rPr>
          <w:rFonts w:ascii="Times New Roman" w:hAnsi="Times New Roman"/>
          <w:sz w:val="24"/>
          <w:szCs w:val="24"/>
        </w:rPr>
        <w:t xml:space="preserve">EPA 111 </w:t>
      </w:r>
      <w:r w:rsidR="0085030F">
        <w:rPr>
          <w:rFonts w:ascii="Times New Roman" w:hAnsi="Times New Roman"/>
          <w:sz w:val="24"/>
          <w:szCs w:val="24"/>
        </w:rPr>
        <w:t xml:space="preserve">GHG </w:t>
      </w:r>
      <w:r w:rsidR="00DA3EC6" w:rsidRPr="728E6502">
        <w:rPr>
          <w:rFonts w:ascii="Times New Roman" w:hAnsi="Times New Roman"/>
          <w:sz w:val="24"/>
          <w:szCs w:val="24"/>
        </w:rPr>
        <w:t xml:space="preserve">Rules </w:t>
      </w:r>
      <w:r w:rsidR="00AC78B8" w:rsidRPr="728E6502">
        <w:rPr>
          <w:rFonts w:ascii="Times New Roman" w:hAnsi="Times New Roman"/>
          <w:sz w:val="24"/>
          <w:szCs w:val="24"/>
        </w:rPr>
        <w:t xml:space="preserve">assumptions </w:t>
      </w:r>
      <w:r w:rsidR="00DA3EC6" w:rsidRPr="728E6502">
        <w:rPr>
          <w:rFonts w:ascii="Times New Roman" w:hAnsi="Times New Roman"/>
          <w:sz w:val="24"/>
          <w:szCs w:val="24"/>
        </w:rPr>
        <w:t xml:space="preserve">used in the Resource Mix Study, see Technical Appendix Volume 2, </w:t>
      </w:r>
      <w:r w:rsidR="005661A1" w:rsidRPr="728E6502">
        <w:rPr>
          <w:rFonts w:ascii="Times New Roman" w:hAnsi="Times New Roman"/>
          <w:sz w:val="24"/>
          <w:szCs w:val="24"/>
        </w:rPr>
        <w:t>Resource Mix Study</w:t>
      </w:r>
      <w:r w:rsidR="008425B0" w:rsidRPr="728E6502">
        <w:rPr>
          <w:rFonts w:ascii="Times New Roman" w:hAnsi="Times New Roman"/>
          <w:sz w:val="24"/>
          <w:szCs w:val="24"/>
        </w:rPr>
        <w:t>.</w:t>
      </w:r>
      <w:r w:rsidR="00D440E6" w:rsidRPr="728E6502">
        <w:rPr>
          <w:rFonts w:ascii="Times New Roman" w:hAnsi="Times New Roman"/>
          <w:sz w:val="24"/>
          <w:szCs w:val="24"/>
        </w:rPr>
        <w:t xml:space="preserve"> </w:t>
      </w:r>
      <w:r w:rsidR="0095723B" w:rsidRPr="728E6502">
        <w:rPr>
          <w:rFonts w:ascii="Times New Roman" w:hAnsi="Times New Roman"/>
          <w:sz w:val="24"/>
          <w:szCs w:val="24"/>
        </w:rPr>
        <w:t xml:space="preserve">The Environmental Compliance Strategy (“ECS”) </w:t>
      </w:r>
      <w:r w:rsidR="0066187D" w:rsidRPr="728E6502">
        <w:rPr>
          <w:rFonts w:ascii="Times New Roman" w:hAnsi="Times New Roman"/>
          <w:sz w:val="24"/>
          <w:szCs w:val="24"/>
        </w:rPr>
        <w:t xml:space="preserve">in Technical Appendix Volume 1 also discusses the Company’s options under the </w:t>
      </w:r>
      <w:r w:rsidR="009D2F59" w:rsidRPr="728E6502">
        <w:rPr>
          <w:rFonts w:ascii="Times New Roman" w:hAnsi="Times New Roman"/>
          <w:sz w:val="24"/>
          <w:szCs w:val="24"/>
        </w:rPr>
        <w:t>111 GHG Rules</w:t>
      </w:r>
      <w:r w:rsidR="00F34ABA" w:rsidRPr="728E6502">
        <w:rPr>
          <w:rFonts w:ascii="Times New Roman" w:hAnsi="Times New Roman"/>
          <w:sz w:val="24"/>
          <w:szCs w:val="24"/>
        </w:rPr>
        <w:t>,</w:t>
      </w:r>
      <w:r w:rsidR="009D2F59" w:rsidRPr="728E6502">
        <w:rPr>
          <w:rFonts w:ascii="Times New Roman" w:hAnsi="Times New Roman"/>
          <w:sz w:val="24"/>
          <w:szCs w:val="24"/>
        </w:rPr>
        <w:t xml:space="preserve"> and it should be noted that </w:t>
      </w:r>
      <w:r w:rsidR="00CC08CA" w:rsidRPr="728E6502">
        <w:rPr>
          <w:rFonts w:ascii="Times New Roman" w:hAnsi="Times New Roman"/>
          <w:sz w:val="24"/>
          <w:szCs w:val="24"/>
        </w:rPr>
        <w:t xml:space="preserve">the compliance options were evaluated without regard to implementation feasibility and </w:t>
      </w:r>
      <w:r w:rsidR="00ED5931" w:rsidRPr="728E6502">
        <w:rPr>
          <w:rFonts w:ascii="Times New Roman" w:hAnsi="Times New Roman"/>
          <w:sz w:val="24"/>
          <w:szCs w:val="24"/>
        </w:rPr>
        <w:t>future state plan development.</w:t>
      </w:r>
    </w:p>
    <w:p w14:paraId="31A1FCB2" w14:textId="75C40292" w:rsidR="009C1C3C" w:rsidRPr="00594B5F" w:rsidRDefault="00CB7E81" w:rsidP="001A4B98">
      <w:pPr>
        <w:pStyle w:val="ListParagraph"/>
        <w:numPr>
          <w:ilvl w:val="0"/>
          <w:numId w:val="10"/>
        </w:numPr>
        <w:ind w:left="806"/>
        <w:contextualSpacing w:val="0"/>
        <w:jc w:val="both"/>
        <w:rPr>
          <w:rFonts w:ascii="Times New Roman" w:hAnsi="Times New Roman"/>
          <w:sz w:val="24"/>
        </w:rPr>
      </w:pPr>
      <w:r w:rsidRPr="00594B5F">
        <w:rPr>
          <w:rFonts w:ascii="Times New Roman" w:hAnsi="Times New Roman"/>
          <w:sz w:val="24"/>
        </w:rPr>
        <w:t xml:space="preserve">No changes were made to the availability, costs, or operations of oil-fired resources for compliance </w:t>
      </w:r>
      <w:r w:rsidR="004268C3" w:rsidRPr="00594B5F">
        <w:rPr>
          <w:rFonts w:ascii="Times New Roman" w:hAnsi="Times New Roman"/>
          <w:sz w:val="24"/>
        </w:rPr>
        <w:t xml:space="preserve">in the scenarios that include the </w:t>
      </w:r>
      <w:r w:rsidRPr="00594B5F">
        <w:rPr>
          <w:rFonts w:ascii="Times New Roman" w:hAnsi="Times New Roman"/>
          <w:sz w:val="24"/>
        </w:rPr>
        <w:t xml:space="preserve">EPA </w:t>
      </w:r>
      <w:r w:rsidR="00D40E30" w:rsidRPr="00594B5F">
        <w:rPr>
          <w:rFonts w:ascii="Times New Roman" w:hAnsi="Times New Roman"/>
          <w:sz w:val="24"/>
        </w:rPr>
        <w:t>111</w:t>
      </w:r>
      <w:r w:rsidR="009B5DDA">
        <w:rPr>
          <w:rFonts w:ascii="Times New Roman" w:hAnsi="Times New Roman"/>
          <w:sz w:val="24"/>
        </w:rPr>
        <w:t xml:space="preserve"> GHG</w:t>
      </w:r>
      <w:r w:rsidR="00D40E30" w:rsidRPr="00594B5F">
        <w:rPr>
          <w:rFonts w:ascii="Times New Roman" w:hAnsi="Times New Roman"/>
          <w:sz w:val="24"/>
        </w:rPr>
        <w:t xml:space="preserve"> Rules.</w:t>
      </w:r>
    </w:p>
    <w:p w14:paraId="0AB20FE6" w14:textId="24000434" w:rsidR="00F62ADD" w:rsidRPr="00594B5F" w:rsidRDefault="00084F9E" w:rsidP="001A4B98">
      <w:pPr>
        <w:pStyle w:val="ListParagraph"/>
        <w:numPr>
          <w:ilvl w:val="0"/>
          <w:numId w:val="10"/>
        </w:numPr>
        <w:contextualSpacing w:val="0"/>
        <w:jc w:val="both"/>
        <w:rPr>
          <w:rFonts w:ascii="Times New Roman" w:hAnsi="Times New Roman"/>
          <w:sz w:val="24"/>
        </w:rPr>
      </w:pPr>
      <w:r w:rsidRPr="00594B5F">
        <w:rPr>
          <w:rFonts w:ascii="Times New Roman" w:hAnsi="Times New Roman"/>
          <w:sz w:val="24"/>
        </w:rPr>
        <w:lastRenderedPageBreak/>
        <w:t xml:space="preserve">For </w:t>
      </w:r>
      <w:r w:rsidR="00FB1524" w:rsidRPr="00594B5F">
        <w:rPr>
          <w:rFonts w:ascii="Times New Roman" w:hAnsi="Times New Roman"/>
          <w:sz w:val="24"/>
        </w:rPr>
        <w:t xml:space="preserve">scenarios that include the EPA 111 </w:t>
      </w:r>
      <w:r w:rsidR="009B5DDA">
        <w:rPr>
          <w:rFonts w:ascii="Times New Roman" w:hAnsi="Times New Roman"/>
          <w:sz w:val="24"/>
        </w:rPr>
        <w:t xml:space="preserve">GHG </w:t>
      </w:r>
      <w:r w:rsidR="00FB1524" w:rsidRPr="00594B5F">
        <w:rPr>
          <w:rFonts w:ascii="Times New Roman" w:hAnsi="Times New Roman"/>
          <w:sz w:val="24"/>
        </w:rPr>
        <w:t xml:space="preserve">Rules in </w:t>
      </w:r>
      <w:r w:rsidRPr="00594B5F">
        <w:rPr>
          <w:rFonts w:ascii="Times New Roman" w:hAnsi="Times New Roman"/>
          <w:sz w:val="24"/>
        </w:rPr>
        <w:t xml:space="preserve">the Resource Mix Study, the Company assumed that </w:t>
      </w:r>
      <w:r w:rsidR="00FA6CBB" w:rsidRPr="00594B5F">
        <w:rPr>
          <w:rFonts w:ascii="Times New Roman" w:hAnsi="Times New Roman"/>
          <w:sz w:val="24"/>
        </w:rPr>
        <w:t xml:space="preserve">new </w:t>
      </w:r>
      <w:r w:rsidR="00AC5325" w:rsidRPr="00594B5F">
        <w:rPr>
          <w:rFonts w:ascii="Times New Roman" w:hAnsi="Times New Roman"/>
          <w:sz w:val="24"/>
        </w:rPr>
        <w:t xml:space="preserve">generic </w:t>
      </w:r>
      <w:r w:rsidR="00FA6CBB" w:rsidRPr="00594B5F">
        <w:rPr>
          <w:rFonts w:ascii="Times New Roman" w:hAnsi="Times New Roman"/>
          <w:sz w:val="24"/>
        </w:rPr>
        <w:t>natural gas combined cycle (</w:t>
      </w:r>
      <w:r w:rsidR="00B04425">
        <w:rPr>
          <w:rFonts w:ascii="Times New Roman" w:hAnsi="Times New Roman"/>
          <w:sz w:val="24"/>
        </w:rPr>
        <w:t>“</w:t>
      </w:r>
      <w:r w:rsidR="00FA6CBB" w:rsidRPr="00594B5F">
        <w:rPr>
          <w:rFonts w:ascii="Times New Roman" w:hAnsi="Times New Roman"/>
          <w:sz w:val="24"/>
        </w:rPr>
        <w:t>NGCC</w:t>
      </w:r>
      <w:r w:rsidR="00B04425">
        <w:rPr>
          <w:rFonts w:ascii="Times New Roman" w:hAnsi="Times New Roman"/>
          <w:sz w:val="24"/>
        </w:rPr>
        <w:t>”</w:t>
      </w:r>
      <w:r w:rsidR="00FA6CBB" w:rsidRPr="00594B5F">
        <w:rPr>
          <w:rFonts w:ascii="Times New Roman" w:hAnsi="Times New Roman"/>
          <w:sz w:val="24"/>
        </w:rPr>
        <w:t>)</w:t>
      </w:r>
      <w:r w:rsidR="002E35A0" w:rsidRPr="00594B5F">
        <w:rPr>
          <w:rFonts w:ascii="Times New Roman" w:hAnsi="Times New Roman"/>
          <w:sz w:val="24"/>
        </w:rPr>
        <w:t xml:space="preserve"> </w:t>
      </w:r>
      <w:r w:rsidR="00B46239" w:rsidRPr="00594B5F">
        <w:rPr>
          <w:rFonts w:ascii="Times New Roman" w:hAnsi="Times New Roman"/>
          <w:sz w:val="24"/>
        </w:rPr>
        <w:t xml:space="preserve">units </w:t>
      </w:r>
      <w:r w:rsidR="002E35A0" w:rsidRPr="00594B5F">
        <w:rPr>
          <w:rFonts w:ascii="Times New Roman" w:hAnsi="Times New Roman"/>
          <w:sz w:val="24"/>
        </w:rPr>
        <w:t>without carbon capture and sequestration</w:t>
      </w:r>
      <w:r w:rsidR="00FA6CBB" w:rsidRPr="00594B5F">
        <w:rPr>
          <w:rFonts w:ascii="Times New Roman" w:hAnsi="Times New Roman"/>
          <w:sz w:val="24"/>
        </w:rPr>
        <w:t xml:space="preserve"> </w:t>
      </w:r>
      <w:r w:rsidR="00AC5325" w:rsidRPr="00594B5F">
        <w:rPr>
          <w:rFonts w:ascii="Times New Roman" w:hAnsi="Times New Roman"/>
          <w:sz w:val="24"/>
        </w:rPr>
        <w:t>(</w:t>
      </w:r>
      <w:r w:rsidR="00B04425">
        <w:rPr>
          <w:rFonts w:ascii="Times New Roman" w:hAnsi="Times New Roman"/>
          <w:sz w:val="24"/>
        </w:rPr>
        <w:t>“</w:t>
      </w:r>
      <w:r w:rsidR="00AC5325" w:rsidRPr="00594B5F">
        <w:rPr>
          <w:rFonts w:ascii="Times New Roman" w:hAnsi="Times New Roman"/>
          <w:sz w:val="24"/>
        </w:rPr>
        <w:t>CCS</w:t>
      </w:r>
      <w:r w:rsidR="00B04425">
        <w:rPr>
          <w:rFonts w:ascii="Times New Roman" w:hAnsi="Times New Roman"/>
          <w:sz w:val="24"/>
        </w:rPr>
        <w:t>”</w:t>
      </w:r>
      <w:r w:rsidR="00AC5325" w:rsidRPr="00594B5F">
        <w:rPr>
          <w:rFonts w:ascii="Times New Roman" w:hAnsi="Times New Roman"/>
          <w:sz w:val="24"/>
        </w:rPr>
        <w:t xml:space="preserve">) </w:t>
      </w:r>
      <w:r w:rsidR="00F14532" w:rsidRPr="00594B5F">
        <w:rPr>
          <w:rFonts w:ascii="Times New Roman" w:hAnsi="Times New Roman"/>
          <w:sz w:val="24"/>
        </w:rPr>
        <w:t xml:space="preserve">must </w:t>
      </w:r>
      <w:r w:rsidR="00006DCC" w:rsidRPr="00594B5F">
        <w:rPr>
          <w:rFonts w:ascii="Times New Roman" w:hAnsi="Times New Roman"/>
          <w:sz w:val="24"/>
        </w:rPr>
        <w:t>limit annual operation to 40</w:t>
      </w:r>
      <w:r w:rsidR="004F6813">
        <w:rPr>
          <w:rFonts w:ascii="Times New Roman" w:hAnsi="Times New Roman"/>
          <w:sz w:val="24"/>
        </w:rPr>
        <w:t>%</w:t>
      </w:r>
      <w:r w:rsidR="00006DCC" w:rsidRPr="00594B5F">
        <w:rPr>
          <w:rFonts w:ascii="Times New Roman" w:hAnsi="Times New Roman"/>
          <w:sz w:val="24"/>
        </w:rPr>
        <w:t xml:space="preserve"> capacity factor </w:t>
      </w:r>
      <w:r w:rsidR="00AC5325" w:rsidRPr="00594B5F">
        <w:rPr>
          <w:rFonts w:ascii="Times New Roman" w:hAnsi="Times New Roman"/>
          <w:sz w:val="24"/>
        </w:rPr>
        <w:t xml:space="preserve">beginning in 2032. </w:t>
      </w:r>
      <w:r w:rsidR="00103D9B" w:rsidRPr="00594B5F">
        <w:rPr>
          <w:rFonts w:ascii="Times New Roman" w:hAnsi="Times New Roman"/>
          <w:sz w:val="24"/>
        </w:rPr>
        <w:t xml:space="preserve">Generic </w:t>
      </w:r>
      <w:r w:rsidR="00FB1524" w:rsidRPr="00594B5F">
        <w:rPr>
          <w:rFonts w:ascii="Times New Roman" w:hAnsi="Times New Roman"/>
          <w:sz w:val="24"/>
        </w:rPr>
        <w:t xml:space="preserve">NGCCs </w:t>
      </w:r>
      <w:r w:rsidR="00B46239" w:rsidRPr="00594B5F">
        <w:rPr>
          <w:rFonts w:ascii="Times New Roman" w:hAnsi="Times New Roman"/>
          <w:sz w:val="24"/>
        </w:rPr>
        <w:t xml:space="preserve">with CCS </w:t>
      </w:r>
      <w:r w:rsidR="00ED7AC3">
        <w:rPr>
          <w:rFonts w:ascii="Times New Roman" w:hAnsi="Times New Roman"/>
          <w:sz w:val="24"/>
        </w:rPr>
        <w:t xml:space="preserve">do not have </w:t>
      </w:r>
      <w:r w:rsidR="007E2DC6">
        <w:rPr>
          <w:rFonts w:ascii="Times New Roman" w:hAnsi="Times New Roman"/>
          <w:sz w:val="24"/>
        </w:rPr>
        <w:t xml:space="preserve">a limit on annual operation and </w:t>
      </w:r>
      <w:r w:rsidR="00B46239" w:rsidRPr="00594B5F">
        <w:rPr>
          <w:rFonts w:ascii="Times New Roman" w:hAnsi="Times New Roman"/>
          <w:sz w:val="24"/>
        </w:rPr>
        <w:t xml:space="preserve">are available to be selected in the model beginning in 2037. </w:t>
      </w:r>
      <w:proofErr w:type="gramStart"/>
      <w:r w:rsidR="00A476F6">
        <w:rPr>
          <w:rFonts w:ascii="Times New Roman" w:hAnsi="Times New Roman"/>
          <w:sz w:val="24"/>
        </w:rPr>
        <w:t xml:space="preserve">Both </w:t>
      </w:r>
      <w:r w:rsidR="0057622B">
        <w:rPr>
          <w:rFonts w:ascii="Times New Roman" w:hAnsi="Times New Roman"/>
          <w:sz w:val="24"/>
        </w:rPr>
        <w:t>NGCC</w:t>
      </w:r>
      <w:proofErr w:type="gramEnd"/>
      <w:r w:rsidR="003D595B">
        <w:rPr>
          <w:rFonts w:ascii="Times New Roman" w:hAnsi="Times New Roman"/>
          <w:sz w:val="24"/>
        </w:rPr>
        <w:t xml:space="preserve"> options were available to be selected by the model </w:t>
      </w:r>
      <w:r w:rsidR="00526164">
        <w:rPr>
          <w:rFonts w:ascii="Times New Roman" w:hAnsi="Times New Roman"/>
          <w:sz w:val="24"/>
        </w:rPr>
        <w:t xml:space="preserve">in the </w:t>
      </w:r>
      <w:r w:rsidR="005D5595">
        <w:rPr>
          <w:rFonts w:ascii="Times New Roman" w:hAnsi="Times New Roman"/>
          <w:sz w:val="24"/>
        </w:rPr>
        <w:t>111</w:t>
      </w:r>
      <w:r w:rsidR="0057622B">
        <w:rPr>
          <w:rFonts w:ascii="Times New Roman" w:hAnsi="Times New Roman"/>
          <w:sz w:val="24"/>
        </w:rPr>
        <w:t xml:space="preserve"> GHG Rule</w:t>
      </w:r>
      <w:r w:rsidR="009541D4">
        <w:rPr>
          <w:rFonts w:ascii="Times New Roman" w:hAnsi="Times New Roman"/>
          <w:sz w:val="24"/>
        </w:rPr>
        <w:t>s</w:t>
      </w:r>
      <w:r w:rsidR="0057622B">
        <w:rPr>
          <w:rFonts w:ascii="Times New Roman" w:hAnsi="Times New Roman"/>
          <w:sz w:val="24"/>
        </w:rPr>
        <w:t xml:space="preserve"> scenarios included in </w:t>
      </w:r>
      <w:r w:rsidR="004A2964">
        <w:rPr>
          <w:rFonts w:ascii="Times New Roman" w:hAnsi="Times New Roman"/>
          <w:sz w:val="24"/>
        </w:rPr>
        <w:t xml:space="preserve">the </w:t>
      </w:r>
      <w:r w:rsidR="00DB6153">
        <w:rPr>
          <w:rFonts w:ascii="Times New Roman" w:hAnsi="Times New Roman"/>
          <w:sz w:val="24"/>
        </w:rPr>
        <w:t>Resource Mix Study</w:t>
      </w:r>
      <w:r w:rsidR="0057622B">
        <w:rPr>
          <w:rFonts w:ascii="Times New Roman" w:hAnsi="Times New Roman"/>
          <w:sz w:val="24"/>
        </w:rPr>
        <w:t>.</w:t>
      </w:r>
    </w:p>
    <w:sectPr w:rsidR="00F62ADD" w:rsidRPr="00594B5F" w:rsidSect="00E3405C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209BA" w14:textId="77777777" w:rsidR="00184AEA" w:rsidRDefault="00184AEA">
      <w:pPr>
        <w:spacing w:after="0" w:line="240" w:lineRule="auto"/>
      </w:pPr>
      <w:r>
        <w:separator/>
      </w:r>
    </w:p>
  </w:endnote>
  <w:endnote w:type="continuationSeparator" w:id="0">
    <w:p w14:paraId="3A63F70D" w14:textId="77777777" w:rsidR="00184AEA" w:rsidRDefault="00184AEA">
      <w:pPr>
        <w:spacing w:after="0" w:line="240" w:lineRule="auto"/>
      </w:pPr>
      <w:r>
        <w:continuationSeparator/>
      </w:r>
    </w:p>
  </w:endnote>
  <w:endnote w:type="continuationNotice" w:id="1">
    <w:p w14:paraId="0EC26696" w14:textId="77777777" w:rsidR="00184AEA" w:rsidRDefault="00184A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9EA72" w14:textId="7DC300FD" w:rsidR="00DF54E2" w:rsidRDefault="00F3454C">
    <w:pPr>
      <w:pStyle w:val="Footer"/>
    </w:pPr>
    <w:r>
      <w:rPr>
        <w:rFonts w:ascii="Times New Roman" w:hAnsi="Times New Roman"/>
        <w:sz w:val="24"/>
      </w:rPr>
      <w:t>Contact:</w:t>
    </w:r>
    <w:r w:rsidR="00CC411A">
      <w:rPr>
        <w:rFonts w:ascii="Times New Roman" w:hAnsi="Times New Roman"/>
        <w:sz w:val="24"/>
      </w:rPr>
      <w:t xml:space="preserve"> Randy Hubbert</w:t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 w:rsidRPr="00466F92">
      <w:rPr>
        <w:rFonts w:ascii="Times New Roman" w:hAnsi="Times New Roman"/>
        <w:sz w:val="24"/>
      </w:rPr>
      <w:t xml:space="preserve">Page </w:t>
    </w:r>
    <w:r w:rsidRPr="00466F92">
      <w:rPr>
        <w:rFonts w:ascii="Times New Roman" w:hAnsi="Times New Roman"/>
        <w:sz w:val="24"/>
      </w:rPr>
      <w:fldChar w:fldCharType="begin"/>
    </w:r>
    <w:r w:rsidRPr="00466F92">
      <w:rPr>
        <w:rFonts w:ascii="Times New Roman" w:hAnsi="Times New Roman"/>
        <w:sz w:val="24"/>
      </w:rPr>
      <w:instrText xml:space="preserve"> PAGE  \* Arabic  \* MERGEFORMAT </w:instrText>
    </w:r>
    <w:r w:rsidRPr="00466F92">
      <w:rPr>
        <w:rFonts w:ascii="Times New Roman" w:hAnsi="Times New Roman"/>
        <w:sz w:val="24"/>
      </w:rPr>
      <w:fldChar w:fldCharType="separate"/>
    </w:r>
    <w:r w:rsidRPr="00466F92">
      <w:rPr>
        <w:rFonts w:ascii="Times New Roman" w:hAnsi="Times New Roman"/>
        <w:noProof/>
        <w:sz w:val="24"/>
      </w:rPr>
      <w:t>1</w:t>
    </w:r>
    <w:r w:rsidRPr="00466F92">
      <w:rPr>
        <w:rFonts w:ascii="Times New Roman" w:hAnsi="Times New Roman"/>
        <w:sz w:val="24"/>
      </w:rPr>
      <w:fldChar w:fldCharType="end"/>
    </w:r>
    <w:r w:rsidRPr="00466F92">
      <w:rPr>
        <w:rFonts w:ascii="Times New Roman" w:hAnsi="Times New Roman"/>
        <w:sz w:val="24"/>
      </w:rPr>
      <w:t xml:space="preserve"> of </w:t>
    </w:r>
    <w:r w:rsidRPr="00466F92">
      <w:rPr>
        <w:rFonts w:ascii="Times New Roman" w:hAnsi="Times New Roman"/>
        <w:sz w:val="24"/>
      </w:rPr>
      <w:fldChar w:fldCharType="begin"/>
    </w:r>
    <w:r w:rsidRPr="00466F92">
      <w:rPr>
        <w:rFonts w:ascii="Times New Roman" w:hAnsi="Times New Roman"/>
        <w:sz w:val="24"/>
      </w:rPr>
      <w:instrText xml:space="preserve"> NUMPAGES  \* Arabic  \* MERGEFORMAT </w:instrText>
    </w:r>
    <w:r w:rsidRPr="00466F92">
      <w:rPr>
        <w:rFonts w:ascii="Times New Roman" w:hAnsi="Times New Roman"/>
        <w:sz w:val="24"/>
      </w:rPr>
      <w:fldChar w:fldCharType="separate"/>
    </w:r>
    <w:r w:rsidRPr="00466F92">
      <w:rPr>
        <w:rFonts w:ascii="Times New Roman" w:hAnsi="Times New Roman"/>
        <w:noProof/>
        <w:sz w:val="24"/>
      </w:rPr>
      <w:t>2</w:t>
    </w:r>
    <w:r w:rsidRPr="00466F92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66868" w14:textId="77777777" w:rsidR="00184AEA" w:rsidRDefault="00184AEA">
      <w:pPr>
        <w:spacing w:after="0" w:line="240" w:lineRule="auto"/>
      </w:pPr>
      <w:r>
        <w:separator/>
      </w:r>
    </w:p>
  </w:footnote>
  <w:footnote w:type="continuationSeparator" w:id="0">
    <w:p w14:paraId="753A1BC6" w14:textId="77777777" w:rsidR="00184AEA" w:rsidRDefault="00184AEA">
      <w:pPr>
        <w:spacing w:after="0" w:line="240" w:lineRule="auto"/>
      </w:pPr>
      <w:r>
        <w:continuationSeparator/>
      </w:r>
    </w:p>
  </w:footnote>
  <w:footnote w:type="continuationNotice" w:id="1">
    <w:p w14:paraId="655AD114" w14:textId="77777777" w:rsidR="00184AEA" w:rsidRDefault="00184A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598E0" w14:textId="77777777" w:rsidR="00E3405C" w:rsidRPr="00D62A4A" w:rsidRDefault="00E3405C" w:rsidP="00E3405C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4C067A3A" w14:textId="77777777" w:rsidR="00E3405C" w:rsidRPr="00D62A4A" w:rsidRDefault="00E3405C" w:rsidP="00E3405C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2F8BED65" w14:textId="77777777" w:rsidR="00E3405C" w:rsidRPr="00D62A4A" w:rsidRDefault="00E3405C" w:rsidP="00E3405C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 xml:space="preserve">Docket Nos. </w:t>
    </w:r>
    <w:r w:rsidRPr="00D62A4A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261F0BDE" w14:textId="77777777" w:rsidR="00E3405C" w:rsidRPr="00D62A4A" w:rsidRDefault="00E3405C" w:rsidP="00E3405C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D62A4A">
      <w:rPr>
        <w:rFonts w:ascii="Times New Roman" w:hAnsi="Times New Roman" w:cs="Times New Roman"/>
        <w:b/>
        <w:color w:val="000000"/>
        <w:sz w:val="24"/>
        <w:szCs w:val="24"/>
      </w:rPr>
      <w:t>2025 Integrated Resource Plan and 2025 Demand-Side Management Application</w:t>
    </w:r>
  </w:p>
  <w:p w14:paraId="101704C4" w14:textId="77777777" w:rsidR="00E3405C" w:rsidRPr="00D62A4A" w:rsidRDefault="00E3405C" w:rsidP="00E3405C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STF-JKA Data Request Set No. 1</w:t>
    </w:r>
  </w:p>
  <w:p w14:paraId="5E1E80C2" w14:textId="77777777" w:rsidR="00E3405C" w:rsidRPr="00D62A4A" w:rsidRDefault="00E3405C" w:rsidP="00E3405C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D62A4A">
      <w:rPr>
        <w:rFonts w:ascii="Times New Roman" w:hAnsi="Times New Roman" w:cs="Times New Roman"/>
        <w:sz w:val="24"/>
        <w:szCs w:val="24"/>
      </w:rPr>
      <w:t>______________________________________________________________________________</w:t>
    </w:r>
  </w:p>
  <w:p w14:paraId="26A544FF" w14:textId="0E7120B7" w:rsidR="00DF54E2" w:rsidRPr="00E3405C" w:rsidRDefault="00DF54E2" w:rsidP="00E340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D8134F1"/>
    <w:multiLevelType w:val="hybridMultilevel"/>
    <w:tmpl w:val="70D286C2"/>
    <w:lvl w:ilvl="0" w:tplc="42D432DA">
      <w:start w:val="1"/>
      <w:numFmt w:val="lowerLetter"/>
      <w:lvlText w:val="%1."/>
      <w:lvlJc w:val="left"/>
      <w:pPr>
        <w:ind w:left="927" w:hanging="360"/>
      </w:pPr>
      <w:rPr>
        <w:rFonts w:ascii="Times New Roman" w:hAnsi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F41542A"/>
    <w:multiLevelType w:val="hybridMultilevel"/>
    <w:tmpl w:val="19AC580E"/>
    <w:lvl w:ilvl="0" w:tplc="04090019">
      <w:start w:val="1"/>
      <w:numFmt w:val="low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 w15:restartNumberingAfterBreak="0">
    <w:nsid w:val="5A2762DE"/>
    <w:multiLevelType w:val="hybridMultilevel"/>
    <w:tmpl w:val="3F900CA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885797810">
    <w:abstractNumId w:val="8"/>
  </w:num>
  <w:num w:numId="2" w16cid:durableId="736634913">
    <w:abstractNumId w:val="6"/>
  </w:num>
  <w:num w:numId="3" w16cid:durableId="1945065063">
    <w:abstractNumId w:val="5"/>
  </w:num>
  <w:num w:numId="4" w16cid:durableId="1051534808">
    <w:abstractNumId w:val="4"/>
  </w:num>
  <w:num w:numId="5" w16cid:durableId="1372920515">
    <w:abstractNumId w:val="7"/>
  </w:num>
  <w:num w:numId="6" w16cid:durableId="2022318387">
    <w:abstractNumId w:val="3"/>
  </w:num>
  <w:num w:numId="7" w16cid:durableId="2076781143">
    <w:abstractNumId w:val="2"/>
  </w:num>
  <w:num w:numId="8" w16cid:durableId="455032052">
    <w:abstractNumId w:val="1"/>
  </w:num>
  <w:num w:numId="9" w16cid:durableId="1771853062">
    <w:abstractNumId w:val="0"/>
  </w:num>
  <w:num w:numId="10" w16cid:durableId="244733080">
    <w:abstractNumId w:val="10"/>
  </w:num>
  <w:num w:numId="11" w16cid:durableId="1224372964">
    <w:abstractNumId w:val="11"/>
  </w:num>
  <w:num w:numId="12" w16cid:durableId="4699774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6D78"/>
    <w:rsid w:val="00006DCC"/>
    <w:rsid w:val="00027E56"/>
    <w:rsid w:val="00034616"/>
    <w:rsid w:val="00040AB6"/>
    <w:rsid w:val="00047513"/>
    <w:rsid w:val="00047E2D"/>
    <w:rsid w:val="0006063C"/>
    <w:rsid w:val="00084F9E"/>
    <w:rsid w:val="000E7878"/>
    <w:rsid w:val="00103D9B"/>
    <w:rsid w:val="001063CE"/>
    <w:rsid w:val="00110903"/>
    <w:rsid w:val="00123AF8"/>
    <w:rsid w:val="00132BF7"/>
    <w:rsid w:val="0015074B"/>
    <w:rsid w:val="00184AEA"/>
    <w:rsid w:val="001914F5"/>
    <w:rsid w:val="001A4B98"/>
    <w:rsid w:val="001A7144"/>
    <w:rsid w:val="00211770"/>
    <w:rsid w:val="0022558A"/>
    <w:rsid w:val="00233CE2"/>
    <w:rsid w:val="00235999"/>
    <w:rsid w:val="00240805"/>
    <w:rsid w:val="00271796"/>
    <w:rsid w:val="0029639D"/>
    <w:rsid w:val="002E35A0"/>
    <w:rsid w:val="0031201A"/>
    <w:rsid w:val="0031545D"/>
    <w:rsid w:val="00326F90"/>
    <w:rsid w:val="003961CC"/>
    <w:rsid w:val="003C2719"/>
    <w:rsid w:val="003D595B"/>
    <w:rsid w:val="004268C3"/>
    <w:rsid w:val="00426BD8"/>
    <w:rsid w:val="00456A97"/>
    <w:rsid w:val="004628B6"/>
    <w:rsid w:val="00466F92"/>
    <w:rsid w:val="00470761"/>
    <w:rsid w:val="00480633"/>
    <w:rsid w:val="0048243C"/>
    <w:rsid w:val="004A2964"/>
    <w:rsid w:val="004A3AF6"/>
    <w:rsid w:val="004F5C35"/>
    <w:rsid w:val="004F6813"/>
    <w:rsid w:val="00526164"/>
    <w:rsid w:val="0054743D"/>
    <w:rsid w:val="005661A1"/>
    <w:rsid w:val="0057622B"/>
    <w:rsid w:val="00592360"/>
    <w:rsid w:val="00594B5F"/>
    <w:rsid w:val="005A6650"/>
    <w:rsid w:val="005B2E3C"/>
    <w:rsid w:val="005B3776"/>
    <w:rsid w:val="005C158A"/>
    <w:rsid w:val="005C28C1"/>
    <w:rsid w:val="005D5595"/>
    <w:rsid w:val="005E01E5"/>
    <w:rsid w:val="00601025"/>
    <w:rsid w:val="00660D1A"/>
    <w:rsid w:val="0066187D"/>
    <w:rsid w:val="00683955"/>
    <w:rsid w:val="0069421E"/>
    <w:rsid w:val="0069734C"/>
    <w:rsid w:val="006A7BD3"/>
    <w:rsid w:val="006D49D4"/>
    <w:rsid w:val="00703F7D"/>
    <w:rsid w:val="00712773"/>
    <w:rsid w:val="007264C2"/>
    <w:rsid w:val="007440E0"/>
    <w:rsid w:val="007B6F3A"/>
    <w:rsid w:val="007E2DC6"/>
    <w:rsid w:val="007F5846"/>
    <w:rsid w:val="0080293F"/>
    <w:rsid w:val="008425B0"/>
    <w:rsid w:val="0085030F"/>
    <w:rsid w:val="00857B16"/>
    <w:rsid w:val="008829AC"/>
    <w:rsid w:val="00887050"/>
    <w:rsid w:val="008B4C50"/>
    <w:rsid w:val="008C2037"/>
    <w:rsid w:val="009541D4"/>
    <w:rsid w:val="0095723B"/>
    <w:rsid w:val="009767F8"/>
    <w:rsid w:val="00986931"/>
    <w:rsid w:val="009B0C20"/>
    <w:rsid w:val="009B5DDA"/>
    <w:rsid w:val="009C1C3C"/>
    <w:rsid w:val="009D2F59"/>
    <w:rsid w:val="009E05B5"/>
    <w:rsid w:val="00A07DEB"/>
    <w:rsid w:val="00A15892"/>
    <w:rsid w:val="00A44813"/>
    <w:rsid w:val="00A476F6"/>
    <w:rsid w:val="00A70063"/>
    <w:rsid w:val="00AA1D8D"/>
    <w:rsid w:val="00AC5325"/>
    <w:rsid w:val="00AC78B8"/>
    <w:rsid w:val="00AD3676"/>
    <w:rsid w:val="00AD44F3"/>
    <w:rsid w:val="00B04425"/>
    <w:rsid w:val="00B055BE"/>
    <w:rsid w:val="00B302EB"/>
    <w:rsid w:val="00B46239"/>
    <w:rsid w:val="00B46533"/>
    <w:rsid w:val="00B47730"/>
    <w:rsid w:val="00B74F28"/>
    <w:rsid w:val="00B852AC"/>
    <w:rsid w:val="00BA3226"/>
    <w:rsid w:val="00BB0388"/>
    <w:rsid w:val="00BD7A53"/>
    <w:rsid w:val="00C05D95"/>
    <w:rsid w:val="00C172BF"/>
    <w:rsid w:val="00C44882"/>
    <w:rsid w:val="00C62DED"/>
    <w:rsid w:val="00C802D5"/>
    <w:rsid w:val="00CB0664"/>
    <w:rsid w:val="00CB6F52"/>
    <w:rsid w:val="00CB7E81"/>
    <w:rsid w:val="00CC08CA"/>
    <w:rsid w:val="00CC411A"/>
    <w:rsid w:val="00CF3FA3"/>
    <w:rsid w:val="00D40E30"/>
    <w:rsid w:val="00D430AD"/>
    <w:rsid w:val="00D440E6"/>
    <w:rsid w:val="00DA04F4"/>
    <w:rsid w:val="00DA3EC6"/>
    <w:rsid w:val="00DB407B"/>
    <w:rsid w:val="00DB6153"/>
    <w:rsid w:val="00DF54E2"/>
    <w:rsid w:val="00E012E9"/>
    <w:rsid w:val="00E13BF5"/>
    <w:rsid w:val="00E3405C"/>
    <w:rsid w:val="00E56B40"/>
    <w:rsid w:val="00E728A1"/>
    <w:rsid w:val="00E77936"/>
    <w:rsid w:val="00E81DEC"/>
    <w:rsid w:val="00EB7783"/>
    <w:rsid w:val="00ED5931"/>
    <w:rsid w:val="00ED7AC3"/>
    <w:rsid w:val="00EF396D"/>
    <w:rsid w:val="00F112BD"/>
    <w:rsid w:val="00F14532"/>
    <w:rsid w:val="00F3454C"/>
    <w:rsid w:val="00F34ABA"/>
    <w:rsid w:val="00F62ADD"/>
    <w:rsid w:val="00F665D8"/>
    <w:rsid w:val="00FA5120"/>
    <w:rsid w:val="00FA6CBB"/>
    <w:rsid w:val="00FB1524"/>
    <w:rsid w:val="00FC693F"/>
    <w:rsid w:val="04548EA9"/>
    <w:rsid w:val="130F90AD"/>
    <w:rsid w:val="1CDCB5BD"/>
    <w:rsid w:val="1F5DC5F5"/>
    <w:rsid w:val="2DFE0058"/>
    <w:rsid w:val="5AFC02DE"/>
    <w:rsid w:val="728E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062061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B852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52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2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2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2AC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B852A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112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FC0B98-3020-4D5D-A320-D03625330589}"/>
</file>

<file path=customXml/itemProps3.xml><?xml version="1.0" encoding="utf-8"?>
<ds:datastoreItem xmlns:ds="http://schemas.openxmlformats.org/officeDocument/2006/customXml" ds:itemID="{D26BEB74-8BB9-441A-BCAD-742CFAD33576}"/>
</file>

<file path=customXml/itemProps4.xml><?xml version="1.0" encoding="utf-8"?>
<ds:datastoreItem xmlns:ds="http://schemas.openxmlformats.org/officeDocument/2006/customXml" ds:itemID="{A3206ECC-E258-4C76-B792-C83A5EB3E9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2025-02-28T04:54:00Z</dcterms:created>
  <dcterms:modified xsi:type="dcterms:W3CDTF">2025-02-28T04:54:00Z</dcterms:modified>
  <cp:category/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2025-02-28T04:54:41Z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2927856f-7da0-4a54-a158-520437d22ae8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3231700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  <property fmtid="{D5CDD505-2E9C-101B-9397-08002B2CF9AE}" pid="19" name="_SourceUrl">
    <vt:lpwstr/>
  </property>
  <property fmtid="{D5CDD505-2E9C-101B-9397-08002B2CF9AE}" pid="20" name="_SharedFileIndex">
    <vt:lpwstr/>
  </property>
</Properties>
</file>